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57666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57666" w:rsidRDefault="0091664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Kütüphane ve Dokümantasyon Daire Başkanlığı</w:t>
            </w:r>
          </w:p>
        </w:tc>
      </w:tr>
      <w:tr w:rsidR="00145BDA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57666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57666" w:rsidRDefault="00257666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57666">
              <w:rPr>
                <w:rFonts w:ascii="Cambria" w:hAnsi="Cambria" w:cstheme="minorHAnsi"/>
                <w:sz w:val="20"/>
                <w:szCs w:val="20"/>
              </w:rPr>
              <w:t>Kütüphaneci</w:t>
            </w:r>
          </w:p>
        </w:tc>
      </w:tr>
      <w:tr w:rsidR="00176CEC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57666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257666" w:rsidRDefault="0091664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Kütüphane ve Dokümantasyon Daire Başkanı</w:t>
            </w:r>
          </w:p>
        </w:tc>
      </w:tr>
      <w:tr w:rsidR="00D3516A" w:rsidRPr="00257666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57666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57666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57666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57666" w:rsidRDefault="00257666" w:rsidP="00257666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7666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257666">
              <w:rPr>
                <w:rFonts w:ascii="Cambria" w:hAnsi="Cambria"/>
                <w:sz w:val="20"/>
                <w:szCs w:val="20"/>
              </w:rPr>
              <w:t xml:space="preserve">modern kütüphanecilik kurallarına göre kitapların kataloğunu ve tasnifini yapmak, </w:t>
            </w:r>
            <w:r w:rsidRPr="00257666">
              <w:rPr>
                <w:rFonts w:ascii="Cambria" w:hAnsi="Cambria" w:cstheme="minorHAnsi"/>
                <w:sz w:val="20"/>
                <w:szCs w:val="20"/>
              </w:rPr>
              <w:t>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Süreli yayınları otomasyona işleyerek, eksik sayıları tespit etmek ve cilt birliği sağlananları cilde hazırlamak, 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Okuyucuların kütüphanedeki çalışmaları sırasında karşılaştıkları problemleri çözmek,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Süreli yayınların düzenli olarak zamanında kütüphaneye gelmesini sağlamak,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 Katalog ve tasnif işlemlerinin doğruluğunu kontrol etmek ve karşılaşılan güçlüklere çözüm yolu getirmek,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Derleme, bağış, devir ve resmi kurumlardan gelen kitap ve diğer yayınların gerekli işlemlerini yürütmek,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Kitap ve süreli yayınların kütüphaneye girişinden okuyucu hizmetine sunulmasına kadar yapılacak işlemleri denetleyerek, sağlıklı bir biçimde okuyucu hizmetine sunulmasını sağlamak, 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Kütüphaneye bağlı bölüm ve servislerin teknik çalışmalarına yardımcı olmak, 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Kütüphaneden yararlanmalarında okuyuculara yol göstermek,  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Kütüphane koleksiyonunu (veri tabanları, basılı-elektronik materyaller, süreli yayınlar...) ve kullanımını Üniversite içinde ve dışında tanıtmak, eğitimler (</w:t>
            </w:r>
            <w:proofErr w:type="gramStart"/>
            <w:r w:rsidRPr="00916647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916647">
              <w:rPr>
                <w:rFonts w:ascii="Cambria" w:hAnsi="Cambria"/>
                <w:sz w:val="20"/>
                <w:szCs w:val="20"/>
              </w:rPr>
              <w:t>) vermek,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Üniversite eğitim ve öğretimini desteklemek ve araştırmalarda yardımcı olmak, kullanıcı talepleri dikkate alınmak üzere araç gereç, kitap, süreli yayın, elektronik yayın, veri tabanı ve benzeri yayınları satın alınması, </w:t>
            </w:r>
            <w:proofErr w:type="gramStart"/>
            <w:r w:rsidRPr="00916647">
              <w:rPr>
                <w:rFonts w:ascii="Cambria" w:hAnsi="Cambria"/>
                <w:sz w:val="20"/>
                <w:szCs w:val="20"/>
              </w:rPr>
              <w:t>bağış,</w:t>
            </w:r>
            <w:proofErr w:type="gramEnd"/>
            <w:r w:rsidRPr="00916647">
              <w:rPr>
                <w:rFonts w:ascii="Cambria" w:hAnsi="Cambria"/>
                <w:sz w:val="20"/>
                <w:szCs w:val="20"/>
              </w:rPr>
              <w:t xml:space="preserve"> ve değişim yoluyla temin edilmesini sağlamak,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Gelen yayın isteklerini sipariş öncesi kütüphane kataloğundan tarayarak koleksiyonda mevcut olup olmadığını kontrol etmek,</w:t>
            </w:r>
            <w:r w:rsidRPr="0091664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16647">
              <w:rPr>
                <w:rFonts w:ascii="Cambria" w:hAnsi="Cambria"/>
                <w:sz w:val="20"/>
                <w:szCs w:val="20"/>
              </w:rPr>
              <w:t>eksik bilgilerini tamamlamak, hatalı bilgileri düzeltmek</w:t>
            </w:r>
            <w:r w:rsidRPr="00916647">
              <w:rPr>
                <w:rFonts w:ascii="Cambria" w:hAnsi="Cambria"/>
                <w:sz w:val="20"/>
                <w:szCs w:val="20"/>
              </w:rPr>
              <w:t>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Akademik personelden gelen talepler ve kullanıcı istatistikleri doğrultusunda, abone olunacak veri tabanlarının listesi oluşturmak ve bu listeyi kütüphane yönetiminin değerlendirmesine sunmak,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Satın alınacak kitaplar belirlendikten sonra yardımcı eleman aracılığıyla listelerin yazılmasını sağlamak,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Çeşitli kamu kurum ve kuruluşlardan gönderilen bağış kitapları değerlendirerek kayıt altına alınacakları belirlemek, </w:t>
            </w:r>
            <w:proofErr w:type="spellStart"/>
            <w:r w:rsidRPr="00916647">
              <w:rPr>
                <w:rFonts w:ascii="Cambria" w:hAnsi="Cambria"/>
                <w:sz w:val="20"/>
                <w:szCs w:val="20"/>
              </w:rPr>
              <w:t>listelelerini</w:t>
            </w:r>
            <w:proofErr w:type="spellEnd"/>
            <w:r w:rsidRPr="00916647">
              <w:rPr>
                <w:rFonts w:ascii="Cambria" w:hAnsi="Cambria"/>
                <w:sz w:val="20"/>
                <w:szCs w:val="20"/>
              </w:rPr>
              <w:t xml:space="preserve"> oluşturmak,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Abone olduğumuz elektronik ve </w:t>
            </w:r>
            <w:proofErr w:type="gramStart"/>
            <w:r w:rsidRPr="00916647">
              <w:rPr>
                <w:rFonts w:ascii="Cambria" w:hAnsi="Cambria"/>
                <w:sz w:val="20"/>
                <w:szCs w:val="20"/>
              </w:rPr>
              <w:t>online</w:t>
            </w:r>
            <w:proofErr w:type="gramEnd"/>
            <w:r w:rsidRPr="00916647">
              <w:rPr>
                <w:rFonts w:ascii="Cambria" w:hAnsi="Cambria"/>
                <w:sz w:val="20"/>
                <w:szCs w:val="20"/>
              </w:rPr>
              <w:t xml:space="preserve"> erişimli bilgi kaynakların </w:t>
            </w:r>
            <w:proofErr w:type="spellStart"/>
            <w:r w:rsidRPr="00916647">
              <w:rPr>
                <w:rFonts w:ascii="Cambria" w:hAnsi="Cambria"/>
                <w:sz w:val="20"/>
                <w:szCs w:val="20"/>
              </w:rPr>
              <w:t>erişebilirliğini</w:t>
            </w:r>
            <w:proofErr w:type="spellEnd"/>
            <w:r w:rsidRPr="00916647">
              <w:rPr>
                <w:rFonts w:ascii="Cambria" w:hAnsi="Cambria"/>
                <w:sz w:val="20"/>
                <w:szCs w:val="20"/>
              </w:rPr>
              <w:t xml:space="preserve"> düzenli olarak kontrol etmek ve oluşan herhangi bir teknik sorunu değerlendirerek firmayla iletişime geçmek,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Abone veri tabanlarının düzenli olarak kullanım istatistiklerini almak, analizlerini yapmak ve sonuçları amirlere bildirmek,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Veri tabanı aracı firmalarıyla birlikte kullanıcı eğitim seminerleri düzenlemek, duyurularını yapmak,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Kampus dışından veri tabanlarından faydalanmak isteyen kullanıcıları, </w:t>
            </w:r>
            <w:proofErr w:type="gramStart"/>
            <w:r w:rsidRPr="00916647">
              <w:rPr>
                <w:rFonts w:ascii="Cambria" w:hAnsi="Cambria"/>
                <w:sz w:val="20"/>
                <w:szCs w:val="20"/>
              </w:rPr>
              <w:t>kampus</w:t>
            </w:r>
            <w:proofErr w:type="gramEnd"/>
            <w:r w:rsidRPr="00916647">
              <w:rPr>
                <w:rFonts w:ascii="Cambria" w:hAnsi="Cambria"/>
                <w:sz w:val="20"/>
                <w:szCs w:val="20"/>
              </w:rPr>
              <w:t xml:space="preserve"> dışı erişim konusunda bilgilendirmek</w:t>
            </w:r>
            <w:r w:rsidRPr="00916647">
              <w:rPr>
                <w:rFonts w:ascii="Cambria" w:hAnsi="Cambria"/>
                <w:sz w:val="20"/>
                <w:szCs w:val="20"/>
              </w:rPr>
              <w:t>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Üniversitenin çıkaracağı-basacağı kitap, bildiri, süreli yayın, elektronik yayın vb. için ISBN ve ISSN alımını sağlamak,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Kütüphane koleksiyonunun kütüphane içi ve dışı ödünç verme hizmetlerini sürdürmek,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Üniversitenin kurumsal arşivi (açık erişim) için çalışmalar yapmak,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16647">
              <w:rPr>
                <w:rFonts w:ascii="Cambria" w:hAnsi="Cambria"/>
                <w:sz w:val="20"/>
                <w:szCs w:val="20"/>
              </w:rPr>
              <w:t>Kütüphanelerarası</w:t>
            </w:r>
            <w:proofErr w:type="spellEnd"/>
            <w:r w:rsidRPr="00916647">
              <w:rPr>
                <w:rFonts w:ascii="Cambria" w:hAnsi="Cambria"/>
                <w:sz w:val="20"/>
                <w:szCs w:val="20"/>
              </w:rPr>
              <w:t xml:space="preserve"> işbirliği çerçevesinde (KİTS, TÜBESS) materyal paylaşımını sağlamak,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Kataloglama ve sınıflama işlemi tamamlanan materyalleri kullanıcıya hazır hale getirmek için gerekli teknik işlemleri ( demirbaş kaşesi ve yazımı, sırt etiketleri basma ve yapıştırma, </w:t>
            </w:r>
            <w:proofErr w:type="spellStart"/>
            <w:proofErr w:type="gramStart"/>
            <w:r w:rsidRPr="00916647">
              <w:rPr>
                <w:rFonts w:ascii="Cambria" w:hAnsi="Cambria"/>
                <w:sz w:val="20"/>
                <w:szCs w:val="20"/>
              </w:rPr>
              <w:t>kaşeleme,RFID</w:t>
            </w:r>
            <w:proofErr w:type="spellEnd"/>
            <w:proofErr w:type="gramEnd"/>
            <w:r w:rsidRPr="00916647">
              <w:rPr>
                <w:rFonts w:ascii="Cambria" w:hAnsi="Cambria"/>
                <w:sz w:val="20"/>
                <w:szCs w:val="20"/>
              </w:rPr>
              <w:t xml:space="preserve"> etiketlerini yapıştırma vb.) yapmak,</w:t>
            </w:r>
          </w:p>
          <w:p w:rsidR="00916647" w:rsidRPr="00916647" w:rsidRDefault="00916647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Süreli yayınların takibini ve kontrolünü yapmak, cilt birliği sağlananları cilde hazırlamak,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 xml:space="preserve">Kullanıcı eğitimi, veri tabanları seçim ve kullanımı, kütüphaneler arası ödünç verme hizmetlerini yapmak, </w:t>
            </w:r>
          </w:p>
          <w:p w:rsidR="00257666" w:rsidRPr="00916647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916647">
              <w:rPr>
                <w:rFonts w:ascii="Cambria" w:hAnsi="Cambria"/>
                <w:sz w:val="20"/>
                <w:szCs w:val="20"/>
              </w:rPr>
              <w:t>Görevin gerektirdiği konularda şube müdürlükleri ile koordineyi sağlamak,</w:t>
            </w:r>
          </w:p>
          <w:p w:rsidR="00257666" w:rsidRPr="00257666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257666">
              <w:rPr>
                <w:rFonts w:ascii="Cambria" w:hAnsi="Cambria"/>
                <w:sz w:val="20"/>
                <w:szCs w:val="20"/>
              </w:rPr>
              <w:t>Diğer personelin işbaşında yetiştirilmesini sağlamak üzere işlerin yapılış yöntemlerini ve diğer faaliyetlerle ilişkilerini açıklamak,</w:t>
            </w:r>
          </w:p>
          <w:p w:rsidR="00257666" w:rsidRPr="00257666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  <w:sz w:val="20"/>
                <w:szCs w:val="20"/>
              </w:rPr>
            </w:pPr>
            <w:r w:rsidRPr="00257666">
              <w:rPr>
                <w:rFonts w:ascii="Cambria" w:hAnsi="Cambria"/>
                <w:sz w:val="20"/>
                <w:szCs w:val="20"/>
              </w:rPr>
              <w:lastRenderedPageBreak/>
              <w:t>Demirbaş eşyalarını korumak,</w:t>
            </w:r>
          </w:p>
          <w:p w:rsidR="00280ABC" w:rsidRPr="00257666" w:rsidRDefault="00257666" w:rsidP="00257666">
            <w:pPr>
              <w:numPr>
                <w:ilvl w:val="0"/>
                <w:numId w:val="18"/>
              </w:numPr>
              <w:spacing w:after="0"/>
              <w:ind w:left="357" w:hanging="357"/>
              <w:contextualSpacing/>
              <w:rPr>
                <w:rFonts w:ascii="Cambria" w:hAnsi="Cambria"/>
              </w:rPr>
            </w:pPr>
            <w:proofErr w:type="gramStart"/>
            <w:r w:rsidRPr="00257666">
              <w:rPr>
                <w:rFonts w:ascii="Cambria" w:hAnsi="Cambria"/>
                <w:sz w:val="20"/>
                <w:szCs w:val="20"/>
              </w:rPr>
              <w:t>Daire Başkanı, Şube Müdürü ve Şef’in vereceği vb.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EB1E2E" w:rsidRDefault="009A5DBA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EB1E2E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2914 Sayılı Yükseköğretim Personel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124 sayılı Yüksek Öğretim Üst Kuruluşları ile Yüksek Öğretim Kurumlarının İdari Teşkilatı Hakkında KHK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6698 Sayılı Kişisel Verilerin Korunması Kanunu</w:t>
            </w:r>
          </w:p>
          <w:p w:rsidR="00EB1E2E" w:rsidRPr="00EB1E2E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5018 Kamu Mali Yönetim ve Kontrol Kanunu</w:t>
            </w:r>
          </w:p>
          <w:p w:rsidR="00EB1E2E" w:rsidRPr="00257666" w:rsidRDefault="00EB1E2E" w:rsidP="00257666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B1E2E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29" w:rsidRDefault="000C6E29">
      <w:pPr>
        <w:spacing w:after="0" w:line="240" w:lineRule="auto"/>
      </w:pPr>
      <w:r>
        <w:separator/>
      </w:r>
    </w:p>
  </w:endnote>
  <w:endnote w:type="continuationSeparator" w:id="0">
    <w:p w:rsidR="000C6E29" w:rsidRDefault="000C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B1E2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B1E2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29" w:rsidRDefault="000C6E29">
      <w:pPr>
        <w:spacing w:after="0" w:line="240" w:lineRule="auto"/>
      </w:pPr>
      <w:r>
        <w:separator/>
      </w:r>
    </w:p>
  </w:footnote>
  <w:footnote w:type="continuationSeparator" w:id="0">
    <w:p w:rsidR="000C6E29" w:rsidRDefault="000C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C6E2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936696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5F8F2D7D"/>
    <w:multiLevelType w:val="hybridMultilevel"/>
    <w:tmpl w:val="43C8C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8"/>
  </w:num>
  <w:num w:numId="20">
    <w:abstractNumId w:val="6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C6E29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332C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57666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16647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E2E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15</cp:revision>
  <cp:lastPrinted>2021-06-19T08:40:00Z</cp:lastPrinted>
  <dcterms:created xsi:type="dcterms:W3CDTF">2021-11-06T22:05:00Z</dcterms:created>
  <dcterms:modified xsi:type="dcterms:W3CDTF">2021-11-25T14:36:00Z</dcterms:modified>
</cp:coreProperties>
</file>